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B1EF1" w14:textId="77777777" w:rsidR="0068620C" w:rsidRDefault="002B4079" w:rsidP="002B4079">
      <w:pPr>
        <w:rPr>
          <w:lang w:val="en-GB"/>
        </w:rPr>
      </w:pPr>
      <w:bookmarkStart w:id="0" w:name="_GoBack"/>
      <w:bookmarkEnd w:id="0"/>
      <w:r w:rsidRPr="002B4079">
        <w:rPr>
          <w:b/>
          <w:bCs/>
          <w:lang w:val="en-GB"/>
        </w:rPr>
        <w:t>Breakout session “Engaging with researchers in the RDM space: challenges and opportunities”</w:t>
      </w:r>
      <w:r w:rsidR="0068620C">
        <w:rPr>
          <w:b/>
          <w:bCs/>
          <w:lang w:val="en-GB"/>
        </w:rPr>
        <w:t xml:space="preserve"> (</w:t>
      </w:r>
      <w:r w:rsidR="000F7AF1">
        <w:rPr>
          <w:lang w:val="en-GB"/>
        </w:rPr>
        <w:t>chaired by Joe Shell and Elena Zudilova-Seinstra followed on from their earlier presentation</w:t>
      </w:r>
      <w:r w:rsidR="0068620C">
        <w:rPr>
          <w:lang w:val="en-GB"/>
        </w:rPr>
        <w:t>)</w:t>
      </w:r>
      <w:r w:rsidR="000F7AF1">
        <w:rPr>
          <w:lang w:val="en-GB"/>
        </w:rPr>
        <w:t xml:space="preserve"> </w:t>
      </w:r>
    </w:p>
    <w:p w14:paraId="456EC7A9" w14:textId="77777777" w:rsidR="00EA16FF" w:rsidRDefault="000F7AF1" w:rsidP="002B4079">
      <w:pPr>
        <w:rPr>
          <w:lang w:val="en-GB"/>
        </w:rPr>
      </w:pPr>
      <w:r>
        <w:rPr>
          <w:lang w:val="en-GB"/>
        </w:rPr>
        <w:t>We had a great attendance of the session</w:t>
      </w:r>
      <w:r w:rsidR="0068620C">
        <w:rPr>
          <w:lang w:val="en-GB"/>
        </w:rPr>
        <w:t xml:space="preserve"> with the </w:t>
      </w:r>
      <w:r>
        <w:rPr>
          <w:lang w:val="en-GB"/>
        </w:rPr>
        <w:t xml:space="preserve">representatives </w:t>
      </w:r>
      <w:r w:rsidR="0068620C">
        <w:rPr>
          <w:lang w:val="en-GB"/>
        </w:rPr>
        <w:t>from</w:t>
      </w:r>
      <w:r>
        <w:rPr>
          <w:lang w:val="en-GB"/>
        </w:rPr>
        <w:t xml:space="preserve"> the university libraries, </w:t>
      </w:r>
      <w:r w:rsidR="00E64E5E">
        <w:rPr>
          <w:lang w:val="en-GB"/>
        </w:rPr>
        <w:t>research support officers</w:t>
      </w:r>
      <w:r>
        <w:rPr>
          <w:lang w:val="en-GB"/>
        </w:rPr>
        <w:t xml:space="preserve">, </w:t>
      </w:r>
      <w:r w:rsidR="00E64E5E">
        <w:rPr>
          <w:lang w:val="en-GB"/>
        </w:rPr>
        <w:t>funder organizations</w:t>
      </w:r>
      <w:r>
        <w:rPr>
          <w:lang w:val="en-GB"/>
        </w:rPr>
        <w:t xml:space="preserve">, publishers and RDM service providers. </w:t>
      </w:r>
    </w:p>
    <w:p w14:paraId="45EE7C82" w14:textId="77777777" w:rsidR="0068620C" w:rsidRDefault="000F7AF1" w:rsidP="002B4079">
      <w:pPr>
        <w:rPr>
          <w:lang w:val="en-GB"/>
        </w:rPr>
      </w:pPr>
      <w:r>
        <w:rPr>
          <w:lang w:val="en-GB"/>
        </w:rPr>
        <w:t xml:space="preserve">Participants shared their experiences around researcher engagement. </w:t>
      </w:r>
    </w:p>
    <w:p w14:paraId="692B5719" w14:textId="77777777" w:rsidR="000F7AF1" w:rsidRDefault="000F7AF1" w:rsidP="002B4079">
      <w:pPr>
        <w:rPr>
          <w:lang w:val="en-GB"/>
        </w:rPr>
      </w:pPr>
      <w:r>
        <w:rPr>
          <w:lang w:val="en-GB"/>
        </w:rPr>
        <w:t>We summarize below our main findings.</w:t>
      </w:r>
    </w:p>
    <w:p w14:paraId="3EB94C0C" w14:textId="77777777" w:rsidR="000F7AF1" w:rsidRDefault="000F7AF1" w:rsidP="00E64E5E">
      <w:pPr>
        <w:pStyle w:val="ListParagraph"/>
        <w:numPr>
          <w:ilvl w:val="0"/>
          <w:numId w:val="2"/>
        </w:numPr>
        <w:rPr>
          <w:lang w:val="en-GB"/>
        </w:rPr>
      </w:pPr>
      <w:r w:rsidRPr="00E64E5E">
        <w:rPr>
          <w:lang w:val="en-GB"/>
        </w:rPr>
        <w:t xml:space="preserve">Engagement with researchers around RDM </w:t>
      </w:r>
      <w:r w:rsidR="002C39AD">
        <w:rPr>
          <w:lang w:val="en-GB"/>
        </w:rPr>
        <w:t xml:space="preserve">still </w:t>
      </w:r>
      <w:r w:rsidRPr="00E64E5E">
        <w:rPr>
          <w:lang w:val="en-GB"/>
        </w:rPr>
        <w:t xml:space="preserve">remains a challenge. </w:t>
      </w:r>
    </w:p>
    <w:p w14:paraId="65A74CC3" w14:textId="77777777" w:rsidR="002C39AD" w:rsidRDefault="002C39AD" w:rsidP="00E64E5E">
      <w:pPr>
        <w:pStyle w:val="ListParagraph"/>
        <w:numPr>
          <w:ilvl w:val="0"/>
          <w:numId w:val="2"/>
        </w:numPr>
        <w:rPr>
          <w:lang w:val="en-GB"/>
        </w:rPr>
      </w:pPr>
      <w:r>
        <w:rPr>
          <w:lang w:val="en-GB"/>
        </w:rPr>
        <w:t xml:space="preserve">Personal conversations </w:t>
      </w:r>
      <w:r w:rsidR="00311E0F">
        <w:rPr>
          <w:lang w:val="en-GB"/>
        </w:rPr>
        <w:t xml:space="preserve">seem to </w:t>
      </w:r>
      <w:r>
        <w:rPr>
          <w:lang w:val="en-GB"/>
        </w:rPr>
        <w:t>work the best. When talking with researchers, it helps if you have a similar background. Researchers don’t always understand what research data is.</w:t>
      </w:r>
    </w:p>
    <w:p w14:paraId="5E38BDF6" w14:textId="77777777" w:rsidR="00747908" w:rsidRDefault="00747908" w:rsidP="00E64E5E">
      <w:pPr>
        <w:pStyle w:val="ListParagraph"/>
        <w:numPr>
          <w:ilvl w:val="0"/>
          <w:numId w:val="2"/>
        </w:numPr>
        <w:rPr>
          <w:lang w:val="en-GB"/>
        </w:rPr>
      </w:pPr>
      <w:r>
        <w:rPr>
          <w:lang w:val="en-GB"/>
        </w:rPr>
        <w:t xml:space="preserve">Gaining trust from researchers is yet another important element in making engagement efficient. </w:t>
      </w:r>
    </w:p>
    <w:p w14:paraId="41DC8080" w14:textId="77777777" w:rsidR="000218B2" w:rsidRDefault="00840F06" w:rsidP="00AF44C5">
      <w:pPr>
        <w:pStyle w:val="ListParagraph"/>
        <w:numPr>
          <w:ilvl w:val="0"/>
          <w:numId w:val="2"/>
        </w:numPr>
        <w:rPr>
          <w:lang w:val="en-GB"/>
        </w:rPr>
      </w:pPr>
      <w:r w:rsidRPr="000218B2">
        <w:rPr>
          <w:lang w:val="en-GB"/>
        </w:rPr>
        <w:t>In this respect, programs like Data Champions, Data Stewards, Data Clubs are very helpful because researchers communicate to other researchers the importance of data sharing using the same language.</w:t>
      </w:r>
      <w:r w:rsidR="000218B2">
        <w:rPr>
          <w:lang w:val="en-GB"/>
        </w:rPr>
        <w:t xml:space="preserve"> </w:t>
      </w:r>
    </w:p>
    <w:p w14:paraId="433A8B30" w14:textId="77777777" w:rsidR="0068620C" w:rsidRPr="000218B2" w:rsidRDefault="0068620C" w:rsidP="00AF44C5">
      <w:pPr>
        <w:pStyle w:val="ListParagraph"/>
        <w:numPr>
          <w:ilvl w:val="0"/>
          <w:numId w:val="2"/>
        </w:numPr>
        <w:rPr>
          <w:lang w:val="en-GB"/>
        </w:rPr>
      </w:pPr>
      <w:r>
        <w:rPr>
          <w:lang w:val="en-GB"/>
        </w:rPr>
        <w:t xml:space="preserve">Can we encourage people to become Data Champions? It seems that some researchers are really passionate about data sharing and they don’t really need recognition for what their doing. The best way to identify potential Data Champions in your University is to check active discussions on Twitter around open data and open science </w:t>
      </w:r>
    </w:p>
    <w:p w14:paraId="37FA7E5D" w14:textId="77777777" w:rsidR="002C39AD" w:rsidRDefault="002C39AD" w:rsidP="00E64E5E">
      <w:pPr>
        <w:pStyle w:val="ListParagraph"/>
        <w:numPr>
          <w:ilvl w:val="0"/>
          <w:numId w:val="2"/>
        </w:numPr>
        <w:rPr>
          <w:lang w:val="en-GB"/>
        </w:rPr>
      </w:pPr>
      <w:r>
        <w:rPr>
          <w:lang w:val="en-GB"/>
        </w:rPr>
        <w:t>Very often to encourage researchers to share their data, journal polices for data sharing are referred to.</w:t>
      </w:r>
      <w:r w:rsidR="00747908" w:rsidRPr="00747908">
        <w:rPr>
          <w:lang w:val="en-GB"/>
        </w:rPr>
        <w:t xml:space="preserve"> </w:t>
      </w:r>
      <w:r w:rsidR="00747908">
        <w:rPr>
          <w:lang w:val="en-GB"/>
        </w:rPr>
        <w:t xml:space="preserve">Springer Nature introduced data sharing guidelines for their journals. Elsevier is also working on </w:t>
      </w:r>
      <w:r w:rsidR="00A85D83">
        <w:rPr>
          <w:lang w:val="en-GB"/>
        </w:rPr>
        <w:t>data sharing</w:t>
      </w:r>
      <w:r w:rsidR="00747908">
        <w:rPr>
          <w:lang w:val="en-GB"/>
        </w:rPr>
        <w:t xml:space="preserve"> guidelines that will be announced shortly.</w:t>
      </w:r>
    </w:p>
    <w:p w14:paraId="1FCE8C08" w14:textId="77777777" w:rsidR="002C39AD" w:rsidRDefault="002C39AD" w:rsidP="00E64E5E">
      <w:pPr>
        <w:pStyle w:val="ListParagraph"/>
        <w:numPr>
          <w:ilvl w:val="0"/>
          <w:numId w:val="2"/>
        </w:numPr>
        <w:rPr>
          <w:lang w:val="en-GB"/>
        </w:rPr>
      </w:pPr>
      <w:r>
        <w:rPr>
          <w:lang w:val="en-GB"/>
        </w:rPr>
        <w:t xml:space="preserve">Supplementary files uploaded with the articles </w:t>
      </w:r>
      <w:r w:rsidR="007D51C7">
        <w:rPr>
          <w:lang w:val="en-GB"/>
        </w:rPr>
        <w:t xml:space="preserve">is </w:t>
      </w:r>
      <w:r>
        <w:rPr>
          <w:lang w:val="en-GB"/>
        </w:rPr>
        <w:t xml:space="preserve">still considered as data sharing. </w:t>
      </w:r>
      <w:r w:rsidR="00B4244C">
        <w:rPr>
          <w:lang w:val="en-GB"/>
        </w:rPr>
        <w:t xml:space="preserve">Some journals allow data sharing </w:t>
      </w:r>
      <w:r w:rsidR="00AA3038">
        <w:rPr>
          <w:lang w:val="en-GB"/>
        </w:rPr>
        <w:t>integrated with</w:t>
      </w:r>
      <w:r w:rsidR="00B4244C">
        <w:rPr>
          <w:lang w:val="en-GB"/>
        </w:rPr>
        <w:t xml:space="preserve"> the article submission </w:t>
      </w:r>
      <w:r w:rsidR="00AA3038">
        <w:rPr>
          <w:lang w:val="en-GB"/>
        </w:rPr>
        <w:t>system</w:t>
      </w:r>
      <w:r w:rsidR="00B4244C">
        <w:rPr>
          <w:lang w:val="en-GB"/>
        </w:rPr>
        <w:t>.</w:t>
      </w:r>
    </w:p>
    <w:p w14:paraId="51DEC501" w14:textId="77777777" w:rsidR="00311E0F" w:rsidRDefault="00A85D83" w:rsidP="00311E0F">
      <w:pPr>
        <w:pStyle w:val="ListParagraph"/>
        <w:numPr>
          <w:ilvl w:val="0"/>
          <w:numId w:val="2"/>
        </w:numPr>
        <w:rPr>
          <w:lang w:val="en-GB"/>
        </w:rPr>
      </w:pPr>
      <w:r>
        <w:rPr>
          <w:lang w:val="en-GB"/>
        </w:rPr>
        <w:t xml:space="preserve">Very often institutional repository is the last resort for sharing data. </w:t>
      </w:r>
      <w:r w:rsidR="00311E0F">
        <w:rPr>
          <w:lang w:val="en-GB"/>
        </w:rPr>
        <w:t xml:space="preserve">Several participants reported that their institutional repositories have very few datasets uploaded. </w:t>
      </w:r>
    </w:p>
    <w:p w14:paraId="6A3896BF" w14:textId="77777777" w:rsidR="00A85D83" w:rsidRDefault="00A85D83" w:rsidP="00A85D83">
      <w:pPr>
        <w:pStyle w:val="ListParagraph"/>
        <w:numPr>
          <w:ilvl w:val="0"/>
          <w:numId w:val="2"/>
        </w:numPr>
        <w:rPr>
          <w:lang w:val="en-GB"/>
        </w:rPr>
      </w:pPr>
      <w:r>
        <w:rPr>
          <w:lang w:val="en-GB"/>
        </w:rPr>
        <w:t>The top-down approach does work sometimes, a few examples were mentioned when a lot of datasets were shared following guidance from the university top managers and highly respected researchers (e.g. 11,000 datasets released publicly in one go).</w:t>
      </w:r>
    </w:p>
    <w:p w14:paraId="17FBFFFF" w14:textId="77777777" w:rsidR="00A85D83" w:rsidRDefault="00A85D83" w:rsidP="00311E0F">
      <w:pPr>
        <w:pStyle w:val="ListParagraph"/>
        <w:numPr>
          <w:ilvl w:val="0"/>
          <w:numId w:val="2"/>
        </w:numPr>
        <w:rPr>
          <w:lang w:val="en-GB"/>
        </w:rPr>
      </w:pPr>
      <w:r>
        <w:rPr>
          <w:lang w:val="en-GB"/>
        </w:rPr>
        <w:t>Making data inventory part of the exit procedure is being discussed at some Universities</w:t>
      </w:r>
    </w:p>
    <w:p w14:paraId="39988E9D" w14:textId="77777777" w:rsidR="00311E0F" w:rsidRDefault="00311E0F" w:rsidP="00311E0F">
      <w:pPr>
        <w:pStyle w:val="ListParagraph"/>
        <w:numPr>
          <w:ilvl w:val="0"/>
          <w:numId w:val="2"/>
        </w:numPr>
        <w:rPr>
          <w:lang w:val="en-GB"/>
        </w:rPr>
      </w:pPr>
      <w:r>
        <w:rPr>
          <w:lang w:val="en-GB"/>
        </w:rPr>
        <w:t>Often file size limitation or data sensitivity are limiting factors for researchers to share their data via institutional repository.</w:t>
      </w:r>
    </w:p>
    <w:p w14:paraId="2CA3E09F" w14:textId="77777777" w:rsidR="000218B2" w:rsidRDefault="000218B2" w:rsidP="00311E0F">
      <w:pPr>
        <w:pStyle w:val="ListParagraph"/>
        <w:numPr>
          <w:ilvl w:val="0"/>
          <w:numId w:val="2"/>
        </w:numPr>
        <w:rPr>
          <w:lang w:val="en-GB"/>
        </w:rPr>
      </w:pPr>
      <w:r>
        <w:rPr>
          <w:lang w:val="en-GB"/>
        </w:rPr>
        <w:t xml:space="preserve">Data Management Plan could be a good moment for researcher engagement. </w:t>
      </w:r>
      <w:r w:rsidRPr="00747908">
        <w:rPr>
          <w:lang w:val="en-GB"/>
        </w:rPr>
        <w:t xml:space="preserve">Grant applications can be returned if the information is incomplete. </w:t>
      </w:r>
      <w:r>
        <w:rPr>
          <w:lang w:val="en-GB"/>
        </w:rPr>
        <w:t>Hence more and more r</w:t>
      </w:r>
      <w:r w:rsidRPr="00747908">
        <w:rPr>
          <w:lang w:val="en-GB"/>
        </w:rPr>
        <w:t xml:space="preserve">esearchers are seeking guidance </w:t>
      </w:r>
      <w:r>
        <w:rPr>
          <w:lang w:val="en-GB"/>
        </w:rPr>
        <w:t xml:space="preserve">from the research support office and ask their </w:t>
      </w:r>
      <w:r w:rsidRPr="00747908">
        <w:rPr>
          <w:lang w:val="en-GB"/>
        </w:rPr>
        <w:t xml:space="preserve">DMPs to be checked prior to </w:t>
      </w:r>
      <w:r>
        <w:rPr>
          <w:lang w:val="en-GB"/>
        </w:rPr>
        <w:t xml:space="preserve">submitting </w:t>
      </w:r>
      <w:r w:rsidRPr="00747908">
        <w:rPr>
          <w:lang w:val="en-GB"/>
        </w:rPr>
        <w:t>the grant application.</w:t>
      </w:r>
    </w:p>
    <w:p w14:paraId="25ED0775" w14:textId="77777777" w:rsidR="000218B2" w:rsidRDefault="00747908" w:rsidP="00E64E5E">
      <w:pPr>
        <w:pStyle w:val="ListParagraph"/>
        <w:numPr>
          <w:ilvl w:val="0"/>
          <w:numId w:val="2"/>
        </w:numPr>
        <w:rPr>
          <w:lang w:val="en-GB"/>
        </w:rPr>
      </w:pPr>
      <w:r>
        <w:rPr>
          <w:lang w:val="en-GB"/>
        </w:rPr>
        <w:t>Data Management Plan</w:t>
      </w:r>
      <w:r w:rsidR="00423382">
        <w:rPr>
          <w:lang w:val="en-GB"/>
        </w:rPr>
        <w:t xml:space="preserve"> </w:t>
      </w:r>
      <w:r>
        <w:rPr>
          <w:lang w:val="en-GB"/>
        </w:rPr>
        <w:t xml:space="preserve">is very much a checkbox to be filled in by researchers. </w:t>
      </w:r>
      <w:r w:rsidR="007D51C7">
        <w:rPr>
          <w:lang w:val="en-GB"/>
        </w:rPr>
        <w:t>Submitted DMPs are not always of the high quality.</w:t>
      </w:r>
      <w:r w:rsidR="000218B2">
        <w:rPr>
          <w:lang w:val="en-GB"/>
        </w:rPr>
        <w:t xml:space="preserve"> </w:t>
      </w:r>
      <w:r>
        <w:rPr>
          <w:lang w:val="en-GB"/>
        </w:rPr>
        <w:t xml:space="preserve">There is no guarantee that information provided in DMPs is reliable and data eventually shared. </w:t>
      </w:r>
    </w:p>
    <w:p w14:paraId="1143E93A" w14:textId="77777777" w:rsidR="00747908" w:rsidRPr="000218B2" w:rsidRDefault="00747908" w:rsidP="008D4D40">
      <w:pPr>
        <w:pStyle w:val="ListParagraph"/>
        <w:numPr>
          <w:ilvl w:val="0"/>
          <w:numId w:val="2"/>
        </w:numPr>
        <w:rPr>
          <w:lang w:val="en-GB"/>
        </w:rPr>
      </w:pPr>
      <w:r w:rsidRPr="000218B2">
        <w:rPr>
          <w:lang w:val="en-GB"/>
        </w:rPr>
        <w:t xml:space="preserve">Funders are evaluating carefully the quality of DMPs. It’s important that DMPs are updated regularly </w:t>
      </w:r>
      <w:r w:rsidR="00AA3038">
        <w:rPr>
          <w:lang w:val="en-GB"/>
        </w:rPr>
        <w:t xml:space="preserve">through </w:t>
      </w:r>
      <w:r w:rsidRPr="000218B2">
        <w:rPr>
          <w:lang w:val="en-GB"/>
        </w:rPr>
        <w:t>the project. In the near future, funders are going to check whether the data was indeed shared as specified in the DMP.</w:t>
      </w:r>
    </w:p>
    <w:p w14:paraId="755701C0" w14:textId="77777777" w:rsidR="000218B2" w:rsidRDefault="000218B2" w:rsidP="000218B2">
      <w:pPr>
        <w:pStyle w:val="ListParagraph"/>
        <w:numPr>
          <w:ilvl w:val="0"/>
          <w:numId w:val="2"/>
        </w:numPr>
        <w:rPr>
          <w:lang w:val="en-GB"/>
        </w:rPr>
      </w:pPr>
      <w:r>
        <w:rPr>
          <w:lang w:val="en-GB"/>
        </w:rPr>
        <w:lastRenderedPageBreak/>
        <w:t>With regard to the metrics for researcher engagement, the best metrics is how many researcher got support (e.g. advice on the</w:t>
      </w:r>
      <w:r w:rsidR="00B4244C">
        <w:rPr>
          <w:lang w:val="en-GB"/>
        </w:rPr>
        <w:t>ir</w:t>
      </w:r>
      <w:r>
        <w:rPr>
          <w:lang w:val="en-GB"/>
        </w:rPr>
        <w:t xml:space="preserve"> DMP</w:t>
      </w:r>
      <w:r w:rsidR="00B4244C">
        <w:rPr>
          <w:lang w:val="en-GB"/>
        </w:rPr>
        <w:t>s</w:t>
      </w:r>
      <w:r>
        <w:rPr>
          <w:lang w:val="en-GB"/>
        </w:rPr>
        <w:t>)</w:t>
      </w:r>
      <w:r w:rsidR="00B4244C">
        <w:rPr>
          <w:lang w:val="en-GB"/>
        </w:rPr>
        <w:t>. So it’s not the number of datasets.</w:t>
      </w:r>
    </w:p>
    <w:p w14:paraId="25EB1EFC" w14:textId="77777777" w:rsidR="00840F06" w:rsidRPr="000218B2" w:rsidRDefault="007D51C7" w:rsidP="006F59E1">
      <w:pPr>
        <w:pStyle w:val="ListParagraph"/>
        <w:numPr>
          <w:ilvl w:val="0"/>
          <w:numId w:val="2"/>
        </w:numPr>
        <w:rPr>
          <w:lang w:val="en-GB"/>
        </w:rPr>
      </w:pPr>
      <w:r w:rsidRPr="000218B2">
        <w:rPr>
          <w:lang w:val="en-GB"/>
        </w:rPr>
        <w:t>From the service provider’s point of view, making data sharing platform easy to use helps to achieve a better uptake</w:t>
      </w:r>
      <w:r w:rsidR="00AA3038">
        <w:rPr>
          <w:lang w:val="en-GB"/>
        </w:rPr>
        <w:t xml:space="preserve"> (more returning users)</w:t>
      </w:r>
      <w:r w:rsidRPr="000218B2">
        <w:rPr>
          <w:lang w:val="en-GB"/>
        </w:rPr>
        <w:t xml:space="preserve">, </w:t>
      </w:r>
      <w:r w:rsidR="000218B2" w:rsidRPr="000218B2">
        <w:rPr>
          <w:lang w:val="en-GB"/>
        </w:rPr>
        <w:t>e.g. less clicks</w:t>
      </w:r>
      <w:r w:rsidR="00B4244C">
        <w:rPr>
          <w:lang w:val="en-GB"/>
        </w:rPr>
        <w:t xml:space="preserve"> </w:t>
      </w:r>
      <w:r w:rsidR="00AA3038">
        <w:rPr>
          <w:lang w:val="en-GB"/>
        </w:rPr>
        <w:t xml:space="preserve">result in </w:t>
      </w:r>
      <w:r w:rsidRPr="000218B2">
        <w:rPr>
          <w:lang w:val="en-GB"/>
        </w:rPr>
        <w:t>more returning researchers willing to use institutional repository to share their data.</w:t>
      </w:r>
      <w:r w:rsidR="000218B2" w:rsidRPr="000218B2">
        <w:rPr>
          <w:lang w:val="en-GB"/>
        </w:rPr>
        <w:t xml:space="preserve"> </w:t>
      </w:r>
    </w:p>
    <w:sectPr w:rsidR="00840F06" w:rsidRPr="000218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C6417"/>
    <w:multiLevelType w:val="hybridMultilevel"/>
    <w:tmpl w:val="23C24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F729D"/>
    <w:multiLevelType w:val="hybridMultilevel"/>
    <w:tmpl w:val="89F4D03A"/>
    <w:lvl w:ilvl="0" w:tplc="016A9672">
      <w:start w:val="1"/>
      <w:numFmt w:val="decimal"/>
      <w:lvlText w:val="%1."/>
      <w:lvlJc w:val="left"/>
      <w:pPr>
        <w:tabs>
          <w:tab w:val="num" w:pos="720"/>
        </w:tabs>
        <w:ind w:left="720" w:hanging="360"/>
      </w:pPr>
    </w:lvl>
    <w:lvl w:ilvl="1" w:tplc="1728A36C">
      <w:start w:val="1"/>
      <w:numFmt w:val="decimal"/>
      <w:lvlText w:val="%2."/>
      <w:lvlJc w:val="left"/>
      <w:pPr>
        <w:tabs>
          <w:tab w:val="num" w:pos="1440"/>
        </w:tabs>
        <w:ind w:left="1440" w:hanging="360"/>
      </w:pPr>
    </w:lvl>
    <w:lvl w:ilvl="2" w:tplc="CDE4210A" w:tentative="1">
      <w:start w:val="1"/>
      <w:numFmt w:val="decimal"/>
      <w:lvlText w:val="%3."/>
      <w:lvlJc w:val="left"/>
      <w:pPr>
        <w:tabs>
          <w:tab w:val="num" w:pos="2160"/>
        </w:tabs>
        <w:ind w:left="2160" w:hanging="360"/>
      </w:pPr>
    </w:lvl>
    <w:lvl w:ilvl="3" w:tplc="DAFE0436" w:tentative="1">
      <w:start w:val="1"/>
      <w:numFmt w:val="decimal"/>
      <w:lvlText w:val="%4."/>
      <w:lvlJc w:val="left"/>
      <w:pPr>
        <w:tabs>
          <w:tab w:val="num" w:pos="2880"/>
        </w:tabs>
        <w:ind w:left="2880" w:hanging="360"/>
      </w:pPr>
    </w:lvl>
    <w:lvl w:ilvl="4" w:tplc="F49827D0" w:tentative="1">
      <w:start w:val="1"/>
      <w:numFmt w:val="decimal"/>
      <w:lvlText w:val="%5."/>
      <w:lvlJc w:val="left"/>
      <w:pPr>
        <w:tabs>
          <w:tab w:val="num" w:pos="3600"/>
        </w:tabs>
        <w:ind w:left="3600" w:hanging="360"/>
      </w:pPr>
    </w:lvl>
    <w:lvl w:ilvl="5" w:tplc="D226B894" w:tentative="1">
      <w:start w:val="1"/>
      <w:numFmt w:val="decimal"/>
      <w:lvlText w:val="%6."/>
      <w:lvlJc w:val="left"/>
      <w:pPr>
        <w:tabs>
          <w:tab w:val="num" w:pos="4320"/>
        </w:tabs>
        <w:ind w:left="4320" w:hanging="360"/>
      </w:pPr>
    </w:lvl>
    <w:lvl w:ilvl="6" w:tplc="7B9CAD14" w:tentative="1">
      <w:start w:val="1"/>
      <w:numFmt w:val="decimal"/>
      <w:lvlText w:val="%7."/>
      <w:lvlJc w:val="left"/>
      <w:pPr>
        <w:tabs>
          <w:tab w:val="num" w:pos="5040"/>
        </w:tabs>
        <w:ind w:left="5040" w:hanging="360"/>
      </w:pPr>
    </w:lvl>
    <w:lvl w:ilvl="7" w:tplc="52E22036" w:tentative="1">
      <w:start w:val="1"/>
      <w:numFmt w:val="decimal"/>
      <w:lvlText w:val="%8."/>
      <w:lvlJc w:val="left"/>
      <w:pPr>
        <w:tabs>
          <w:tab w:val="num" w:pos="5760"/>
        </w:tabs>
        <w:ind w:left="5760" w:hanging="360"/>
      </w:pPr>
    </w:lvl>
    <w:lvl w:ilvl="8" w:tplc="32B0E68A"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79"/>
    <w:rsid w:val="000218B2"/>
    <w:rsid w:val="000B6AAF"/>
    <w:rsid w:val="000F7AF1"/>
    <w:rsid w:val="002B4079"/>
    <w:rsid w:val="002C39AD"/>
    <w:rsid w:val="002F0665"/>
    <w:rsid w:val="00311E0F"/>
    <w:rsid w:val="00423382"/>
    <w:rsid w:val="0068620C"/>
    <w:rsid w:val="006C57F1"/>
    <w:rsid w:val="00747908"/>
    <w:rsid w:val="007D51C7"/>
    <w:rsid w:val="00840F06"/>
    <w:rsid w:val="00851E61"/>
    <w:rsid w:val="008C6002"/>
    <w:rsid w:val="00A85D83"/>
    <w:rsid w:val="00AA3038"/>
    <w:rsid w:val="00B4244C"/>
    <w:rsid w:val="00E64E5E"/>
    <w:rsid w:val="00EA16F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EF5FD"/>
  <w15:chartTrackingRefBased/>
  <w15:docId w15:val="{656AE78A-B4F5-4909-9685-0CD50F29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E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011015">
      <w:bodyDiv w:val="1"/>
      <w:marLeft w:val="0"/>
      <w:marRight w:val="0"/>
      <w:marTop w:val="0"/>
      <w:marBottom w:val="0"/>
      <w:divBdr>
        <w:top w:val="none" w:sz="0" w:space="0" w:color="auto"/>
        <w:left w:val="none" w:sz="0" w:space="0" w:color="auto"/>
        <w:bottom w:val="none" w:sz="0" w:space="0" w:color="auto"/>
        <w:right w:val="none" w:sz="0" w:space="0" w:color="auto"/>
      </w:divBdr>
      <w:divsChild>
        <w:div w:id="1956324020">
          <w:marLeft w:val="1584"/>
          <w:marRight w:val="0"/>
          <w:marTop w:val="72"/>
          <w:marBottom w:val="0"/>
          <w:divBdr>
            <w:top w:val="none" w:sz="0" w:space="0" w:color="auto"/>
            <w:left w:val="none" w:sz="0" w:space="0" w:color="auto"/>
            <w:bottom w:val="none" w:sz="0" w:space="0" w:color="auto"/>
            <w:right w:val="none" w:sz="0" w:space="0" w:color="auto"/>
          </w:divBdr>
        </w:div>
        <w:div w:id="1445688300">
          <w:marLeft w:val="1584"/>
          <w:marRight w:val="0"/>
          <w:marTop w:val="72"/>
          <w:marBottom w:val="0"/>
          <w:divBdr>
            <w:top w:val="none" w:sz="0" w:space="0" w:color="auto"/>
            <w:left w:val="none" w:sz="0" w:space="0" w:color="auto"/>
            <w:bottom w:val="none" w:sz="0" w:space="0" w:color="auto"/>
            <w:right w:val="none" w:sz="0" w:space="0" w:color="auto"/>
          </w:divBdr>
        </w:div>
        <w:div w:id="1701709185">
          <w:marLeft w:val="1584"/>
          <w:marRight w:val="0"/>
          <w:marTop w:val="72"/>
          <w:marBottom w:val="0"/>
          <w:divBdr>
            <w:top w:val="none" w:sz="0" w:space="0" w:color="auto"/>
            <w:left w:val="none" w:sz="0" w:space="0" w:color="auto"/>
            <w:bottom w:val="none" w:sz="0" w:space="0" w:color="auto"/>
            <w:right w:val="none" w:sz="0" w:space="0" w:color="auto"/>
          </w:divBdr>
        </w:div>
        <w:div w:id="1692947484">
          <w:marLeft w:val="1584"/>
          <w:marRight w:val="0"/>
          <w:marTop w:val="72"/>
          <w:marBottom w:val="0"/>
          <w:divBdr>
            <w:top w:val="none" w:sz="0" w:space="0" w:color="auto"/>
            <w:left w:val="none" w:sz="0" w:space="0" w:color="auto"/>
            <w:bottom w:val="none" w:sz="0" w:space="0" w:color="auto"/>
            <w:right w:val="none" w:sz="0" w:space="0" w:color="auto"/>
          </w:divBdr>
        </w:div>
        <w:div w:id="2009676420">
          <w:marLeft w:val="1584"/>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Zudilova-Seinstra, Elena (ELS-AMS)</dc:creator>
  <cp:keywords/>
  <dc:description/>
  <cp:lastModifiedBy>Microsoft Office User</cp:lastModifiedBy>
  <cp:revision>2</cp:revision>
  <dcterms:created xsi:type="dcterms:W3CDTF">2017-06-13T09:20:00Z</dcterms:created>
  <dcterms:modified xsi:type="dcterms:W3CDTF">2017-06-13T09:20:00Z</dcterms:modified>
</cp:coreProperties>
</file>